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1"/>
        <w:gridCol w:w="3619"/>
        <w:tblGridChange w:id="0">
          <w:tblGrid>
            <w:gridCol w:w="6491"/>
            <w:gridCol w:w="3619"/>
          </w:tblGrid>
        </w:tblGridChange>
      </w:tblGrid>
      <w:tr>
        <w:trPr>
          <w:trHeight w:val="559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</w:rPr>
              <w:drawing>
                <wp:inline distB="0" distT="0" distL="0" distR="0">
                  <wp:extent cx="588010" cy="28321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283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ESCOLA MUNICIPAL TANCREDO PHÍDEAS GUIMARÃES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DISCIPLINA: LÍNGUA PORTUGUESA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DATA: 09/ 11/2020</w:t>
            </w:r>
          </w:p>
        </w:tc>
      </w:tr>
      <w:tr>
        <w:trPr>
          <w:trHeight w:val="534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PROFESSORA: Luciana Xavier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TURMA: 501</w:t>
            </w:r>
          </w:p>
        </w:tc>
      </w:tr>
      <w:tr>
        <w:trPr>
          <w:trHeight w:val="427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 REMOTA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0</wp:posOffset>
                  </wp:positionV>
                  <wp:extent cx="628015" cy="212090"/>
                  <wp:effectExtent b="0" l="0" r="0" t="0"/>
                  <wp:wrapSquare wrapText="bothSides" distB="0" distT="0" distL="114300" distR="114300"/>
                  <wp:docPr descr="Fique em casa: o isolamento previne, a aglomeração pode matar ..." id="1" name="image1.png"/>
                  <a:graphic>
                    <a:graphicData uri="http://schemas.openxmlformats.org/drawingml/2006/picture">
                      <pic:pic>
                        <pic:nvPicPr>
                          <pic:cNvPr descr="Fique em casa: o isolamento previne, a aglomeração pode matar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rial-BoldMT" w:cs="Arial-BoldMT" w:eastAsia="Arial-BoldMT" w:hAnsi="Arial-BoldMT"/>
          <w:b w:val="1"/>
          <w:sz w:val="28"/>
          <w:szCs w:val="28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8"/>
          <w:szCs w:val="28"/>
          <w:rtl w:val="0"/>
        </w:rPr>
        <w:t xml:space="preserve">O GÊNERO É : PROPAGANDA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Propaganda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é um gênero que tem a intenção de convencer o leitor de que ele precisa: ter um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objeto, comprar um produto, simpatizar com certa marca ou ideia ou tomar determinada atitude.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propaganda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pode ser veiculada em rádio, TV, internet, jornais, revistas, panfletos, cartazes,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etc. É importante que o consumidor esteja atento às suas reais necessidades de consumo e possa se esquivar de propagandas de produtos supérfluos e de anunciantes cujos produtos não cumprem o prometido.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Observe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propaganda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abaixo: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900779" cy="390662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779" cy="3906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24" w:val="dotted"/>
        </w:pBd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1 – Qual gênero textual estamos estudando?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24" w:val="dotted"/>
        </w:pBd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2 – Qual a finalidade de uma propaganda?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3 – As propagandas podem ser veiculadas em quais meios de comunicação?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*******************************************************************************************************************</w:t>
      </w:r>
    </w:p>
    <w:p w:rsidR="00000000" w:rsidDel="00000000" w:rsidP="00000000" w:rsidRDefault="00000000" w:rsidRPr="00000000" w14:paraId="00000018">
      <w:pPr>
        <w:pBdr>
          <w:bottom w:color="000000" w:space="1" w:sz="24" w:val="dotted"/>
        </w:pBd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4 – Que lugar essa fotografia provavelmente retrata?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5 – De acordo com essa propaganda o que está sendo comemorado? E em qual data?</w:t>
      </w:r>
    </w:p>
    <w:p w:rsidR="00000000" w:rsidDel="00000000" w:rsidP="00000000" w:rsidRDefault="00000000" w:rsidRPr="00000000" w14:paraId="0000001B">
      <w:pPr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*****************************************************************************************************************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APRENDENDO SOBRE VERBOS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VERBO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é a palavra que pode indicar uma ação, um estado ou um fenômeno da natureza.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5"/>
        <w:gridCol w:w="3637"/>
        <w:gridCol w:w="3466"/>
        <w:tblGridChange w:id="0">
          <w:tblGrid>
            <w:gridCol w:w="3245"/>
            <w:gridCol w:w="3637"/>
            <w:gridCol w:w="3466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Verbo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pode indicar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ação: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Ex: José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joga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bola. 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verbo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pode indicar um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estado: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Ex: Ela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está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feliz.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verbo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pode indicar um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fenômeno da natureza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Ex: Essa noite vai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chover.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– Numere o que os verbos indicam nas frases abaixo.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1  ação                          2 estado                                     3 fenômeno da natureza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   ) Comer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legumes faz bem à saúde.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   ) Cuidado, já começou 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trovejar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   ) Letícia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está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sorrindo.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   ) As crianças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comeram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brócolis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******************************************************************************************************************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Nas propagandas é muito comum o uso de frases curtas com verbos que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indicam ordem, apelo, pedido. Veja: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00000000002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5"/>
        <w:gridCol w:w="3637"/>
        <w:gridCol w:w="3466"/>
        <w:tblGridChange w:id="0">
          <w:tblGrid>
            <w:gridCol w:w="3245"/>
            <w:gridCol w:w="3637"/>
            <w:gridCol w:w="3466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Lave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bem os alimentos.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desperdice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água.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Cuide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bem da sua saúde.</w:t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– Marque com um X o que indicam os verbos destacados nas frases que você leu acima: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ordem tempo passado conselho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(   )         ordem                 (   )                tempo passado                     (   )      conselho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***************************************************************************************************************</w:t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-BoldMT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